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</w:pPr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  <w:t>201</w:t>
      </w:r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  <w:t>年纵横（甘肃）公路造价培训班</w:t>
      </w:r>
      <w:r>
        <w:rPr>
          <w:rFonts w:hint="eastAsia" w:ascii="宋体" w:hAnsi="宋体"/>
          <w:b/>
          <w:color w:val="000000"/>
          <w:sz w:val="32"/>
          <w:szCs w:val="22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经研究，我单位决定选派下列同志参加培训</w:t>
      </w:r>
    </w:p>
    <w:tbl>
      <w:tblPr>
        <w:tblStyle w:val="3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是否住宿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861695</wp:posOffset>
                  </wp:positionV>
                  <wp:extent cx="1381125" cy="1371600"/>
                  <wp:effectExtent l="0" t="0" r="9525" b="0"/>
                  <wp:wrapNone/>
                  <wp:docPr id="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珠海纵横创新软件有限公司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2CBE"/>
    <w:rsid w:val="2C3E2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2016-10-31T08:00:00Z</dcterms:created>
  <dc:creator>smartcost02</dc:creator>
  <cp:lastModifiedBy>smartcost02</cp:lastModifiedBy>
  <dcterms:modified xsi:type="dcterms:W3CDTF">2016-10-31T08:01:29Z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