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28-29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负责人：刘飞：18620025102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邮箱：1318192108@qq.com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3A10BF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2019-06-03T08:38:52Z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