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Times New Roman" w:hAnsi="Times New Roman"/>
          <w:b/>
          <w:sz w:val="36"/>
          <w:lang w:eastAsia="zh-CN"/>
        </w:rPr>
      </w:pPr>
      <w:r>
        <w:rPr>
          <w:rFonts w:hint="eastAsia" w:ascii="Times New Roman" w:hAnsi="Times New Roman"/>
          <w:b/>
          <w:sz w:val="36"/>
          <w:lang w:val="en-US" w:eastAsia="zh-CN"/>
        </w:rPr>
        <w:t>纵横广东桥梁造价提升实战培训</w:t>
      </w:r>
      <w:r>
        <w:rPr>
          <w:rFonts w:hint="eastAsia" w:ascii="Times New Roman" w:hAnsi="Times New Roman"/>
          <w:b/>
          <w:sz w:val="36"/>
        </w:rPr>
        <w:t>报名表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Times New Roman" w:hAns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hint="eastAsia" w:ascii="Times New Roman" w:hAnsi="Times New Roman"/>
          <w:b/>
          <w:sz w:val="36"/>
          <w:lang w:val="en-US" w:eastAsia="zh-CN"/>
        </w:rPr>
        <w:t>2020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21</w:t>
      </w:r>
      <w:r>
        <w:rPr>
          <w:rFonts w:hint="eastAsia"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24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</w:t>
      </w:r>
      <w:r>
        <w:rPr>
          <w:rFonts w:hint="eastAsia" w:ascii="宋体" w:hAnsi="宋体" w:eastAsia="宋体"/>
          <w:b/>
          <w:sz w:val="24"/>
          <w:lang w:eastAsia="zh-CN"/>
        </w:rPr>
        <w:t>安排</w:t>
      </w:r>
      <w:r>
        <w:rPr>
          <w:rFonts w:hint="eastAsia" w:ascii="宋体" w:hAnsi="宋体" w:eastAsia="宋体"/>
          <w:b/>
          <w:sz w:val="24"/>
        </w:rPr>
        <w:t>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7"/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lang w:eastAsia="zh-CN"/>
        </w:rPr>
        <w:t>杨克松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18312663006</w:t>
      </w:r>
      <w:r>
        <w:rPr>
          <w:rFonts w:hint="eastAsia" w:ascii="宋体" w:hAnsi="宋体"/>
          <w:sz w:val="24"/>
        </w:rPr>
        <w:t>）</w:t>
      </w:r>
    </w:p>
    <w:p>
      <w:pPr>
        <w:pStyle w:val="2"/>
        <w:kinsoku w:val="0"/>
        <w:overflowPunct w:val="0"/>
        <w:spacing w:before="225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2609643310@qq.com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TO2II54BAAAjAwAADgAA&#10;AAAAAAABACAAAAApAQAAZHJzL2Uyb0RvYy54bWxQSwUGAAAAAAYABgBZAQAAOQ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C251B"/>
    <w:rsid w:val="49C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2020-05-07T04:03:00Z</dcterms:created>
  <dc:creator>A·珠珠 </dc:creator>
  <cp:lastModifiedBy>A·珠珠 </cp:lastModifiedBy>
  <dcterms:modified xsi:type="dcterms:W3CDTF">2020-05-07T04:03:13Z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